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ajorEastAsia" w:hAnsiTheme="majorEastAsia" w:eastAsiaTheme="majorEastAsia"/>
          <w:sz w:val="36"/>
          <w:szCs w:val="36"/>
        </w:rPr>
      </w:pPr>
      <w:bookmarkStart w:id="0" w:name="_GoBack"/>
      <w:r>
        <w:rPr>
          <w:rFonts w:asciiTheme="majorEastAsia" w:hAnsiTheme="majorEastAsia" w:eastAsiaTheme="majorEastAsia"/>
          <w:sz w:val="36"/>
          <w:szCs w:val="36"/>
        </w:rPr>
        <w:t>行业信息调查表</w:t>
      </w:r>
    </w:p>
    <w:bookmarkEnd w:id="0"/>
    <w:tbl>
      <w:tblPr>
        <w:tblStyle w:val="2"/>
        <w:tblpPr w:leftFromText="180" w:rightFromText="180" w:vertAnchor="text" w:horzAnchor="margin" w:tblpXSpec="center" w:tblpY="92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2"/>
        <w:gridCol w:w="850"/>
        <w:gridCol w:w="993"/>
        <w:gridCol w:w="1842"/>
        <w:gridCol w:w="426"/>
        <w:gridCol w:w="992"/>
        <w:gridCol w:w="170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654" w:type="dxa"/>
            <w:gridSpan w:val="7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注册地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资质等级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exac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业务范围</w:t>
            </w:r>
          </w:p>
        </w:tc>
        <w:tc>
          <w:tcPr>
            <w:tcW w:w="7654" w:type="dxa"/>
            <w:gridSpan w:val="7"/>
            <w:shd w:val="clear" w:color="auto" w:fill="auto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职工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总数</w:t>
            </w:r>
          </w:p>
        </w:tc>
        <w:tc>
          <w:tcPr>
            <w:tcW w:w="3685" w:type="dxa"/>
            <w:gridSpan w:val="3"/>
            <w:shd w:val="clear" w:color="auto" w:fill="auto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注册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人员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数</w:t>
            </w:r>
          </w:p>
        </w:tc>
        <w:tc>
          <w:tcPr>
            <w:tcW w:w="2551" w:type="dxa"/>
            <w:gridSpan w:val="2"/>
            <w:shd w:val="clear" w:color="auto" w:fill="auto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技术人员</w:t>
            </w:r>
          </w:p>
        </w:tc>
        <w:tc>
          <w:tcPr>
            <w:tcW w:w="3685" w:type="dxa"/>
            <w:gridSpan w:val="3"/>
            <w:shd w:val="clear" w:color="auto" w:fill="auto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高级职称数</w:t>
            </w:r>
          </w:p>
        </w:tc>
        <w:tc>
          <w:tcPr>
            <w:tcW w:w="2551" w:type="dxa"/>
            <w:gridSpan w:val="2"/>
            <w:shd w:val="clear" w:color="auto" w:fill="auto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76" w:type="dxa"/>
            <w:gridSpan w:val="3"/>
            <w:shd w:val="clear" w:color="auto" w:fill="auto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注册资本（亿元）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固定资产（亿元）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负债（亿元）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经济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性质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国有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民营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企业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事业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7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股份结构</w:t>
            </w:r>
          </w:p>
        </w:tc>
        <w:tc>
          <w:tcPr>
            <w:tcW w:w="6804" w:type="dxa"/>
            <w:gridSpan w:val="6"/>
            <w:shd w:val="clear" w:color="auto" w:fill="auto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表</w:t>
      </w:r>
      <w:r>
        <w:rPr>
          <w:rFonts w:hint="eastAsia" w:asciiTheme="majorEastAsia" w:hAnsiTheme="majorEastAsia" w:eastAsiaTheme="majorEastAsia"/>
          <w:sz w:val="28"/>
          <w:szCs w:val="28"/>
        </w:rPr>
        <w:t>1</w:t>
      </w:r>
    </w:p>
    <w:p>
      <w:pPr>
        <w:widowControl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br w:type="page"/>
      </w:r>
    </w:p>
    <w:tbl>
      <w:tblPr>
        <w:tblStyle w:val="2"/>
        <w:tblpPr w:leftFromText="180" w:rightFromText="180" w:vertAnchor="text" w:horzAnchor="margin" w:tblpXSpec="center" w:tblpY="160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691"/>
        <w:gridCol w:w="1673"/>
        <w:gridCol w:w="255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53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2023年</w:t>
            </w:r>
            <w:r>
              <w:rPr>
                <w:rFonts w:ascii="宋体" w:hAnsi="宋体" w:eastAsia="宋体"/>
                <w:sz w:val="28"/>
                <w:szCs w:val="28"/>
              </w:rPr>
              <w:t>营业收入（万元）</w:t>
            </w:r>
          </w:p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2023年缴税（万元）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7" w:type="dxa"/>
            <w:vMerge w:val="restart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其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中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勘察（万元）</w:t>
            </w:r>
          </w:p>
        </w:tc>
        <w:tc>
          <w:tcPr>
            <w:tcW w:w="5642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7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设计（万元）</w:t>
            </w:r>
          </w:p>
        </w:tc>
        <w:tc>
          <w:tcPr>
            <w:tcW w:w="5642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7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总承包（万元）</w:t>
            </w:r>
          </w:p>
        </w:tc>
        <w:tc>
          <w:tcPr>
            <w:tcW w:w="5642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7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监理（万元）</w:t>
            </w:r>
          </w:p>
        </w:tc>
        <w:tc>
          <w:tcPr>
            <w:tcW w:w="5642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7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咨询（万元）</w:t>
            </w:r>
          </w:p>
        </w:tc>
        <w:tc>
          <w:tcPr>
            <w:tcW w:w="5642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7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其他（万元）</w:t>
            </w:r>
          </w:p>
        </w:tc>
        <w:tc>
          <w:tcPr>
            <w:tcW w:w="5642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7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7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7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538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2023年签订合同额（万元）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538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2023年应收款（万元）</w:t>
            </w:r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538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2023年实收款（万元）</w:t>
            </w:r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538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2023年累计拖欠款（万元）</w:t>
            </w:r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表</w:t>
      </w:r>
      <w:r>
        <w:rPr>
          <w:rFonts w:hint="eastAsia" w:asciiTheme="majorEastAsia" w:hAnsiTheme="majorEastAsia" w:eastAsiaTheme="majorEastAsia"/>
          <w:sz w:val="28"/>
          <w:szCs w:val="28"/>
        </w:rPr>
        <w:t>2</w:t>
      </w:r>
      <w:r>
        <w:rPr>
          <w:rFonts w:asciiTheme="majorEastAsia" w:hAnsiTheme="majorEastAsia" w:eastAsiaTheme="majorEastAsia"/>
          <w:sz w:val="28"/>
          <w:szCs w:val="28"/>
        </w:rPr>
        <w:br w:type="page"/>
      </w:r>
    </w:p>
    <w:tbl>
      <w:tblPr>
        <w:tblStyle w:val="2"/>
        <w:tblpPr w:leftFromText="180" w:rightFromText="180" w:vertAnchor="text" w:horzAnchor="margin" w:tblpXSpec="center" w:tblpY="159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947"/>
        <w:gridCol w:w="425"/>
        <w:gridCol w:w="709"/>
        <w:gridCol w:w="31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7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2024上半年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营业收入（万元）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2024上半年缴税（万元）</w:t>
            </w:r>
          </w:p>
          <w:p>
            <w:pPr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7" w:type="dxa"/>
            <w:vMerge w:val="restart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其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中</w:t>
            </w: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勘察（万元）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7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设计（万元）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7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总承包（万元）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7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监理（万元）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7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咨询（万元）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7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其他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7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7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7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219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2024上半年签订合同额（万元）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219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2024上半年应收款（万元）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219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2024上半年实收款（万元）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219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2024上半年拖欠款（万元）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表</w:t>
      </w:r>
      <w:r>
        <w:rPr>
          <w:rFonts w:hint="eastAsia" w:asciiTheme="majorEastAsia" w:hAnsiTheme="majorEastAsia" w:eastAsiaTheme="majorEastAsia"/>
          <w:sz w:val="28"/>
          <w:szCs w:val="28"/>
        </w:rPr>
        <w:t>3</w:t>
      </w:r>
    </w:p>
    <w:p>
      <w:pPr>
        <w:widowControl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br w:type="page"/>
      </w:r>
    </w:p>
    <w:tbl>
      <w:tblPr>
        <w:tblStyle w:val="2"/>
        <w:tblpPr w:leftFromText="180" w:rightFromText="180" w:vertAnchor="text" w:horzAnchor="margin" w:tblpX="-244" w:tblpY="69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992"/>
        <w:gridCol w:w="285"/>
        <w:gridCol w:w="711"/>
        <w:gridCol w:w="423"/>
        <w:gridCol w:w="992"/>
        <w:gridCol w:w="97"/>
        <w:gridCol w:w="1206"/>
        <w:gridCol w:w="111"/>
        <w:gridCol w:w="998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8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2023年及2024上半年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业务类别比例（％）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建筑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市政</w:t>
            </w:r>
          </w:p>
        </w:tc>
        <w:tc>
          <w:tcPr>
            <w:tcW w:w="224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勘察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煤炭</w:t>
            </w:r>
          </w:p>
        </w:tc>
        <w:tc>
          <w:tcPr>
            <w:tcW w:w="224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exact"/>
        </w:trPr>
        <w:tc>
          <w:tcPr>
            <w:tcW w:w="20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化工石化</w:t>
            </w:r>
            <w:r>
              <w:rPr>
                <w:rFonts w:ascii="宋体" w:hAnsi="宋体" w:eastAsia="宋体"/>
                <w:sz w:val="28"/>
                <w:szCs w:val="28"/>
              </w:rPr>
              <w:t>医药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石油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天然气</w:t>
            </w:r>
          </w:p>
        </w:tc>
        <w:tc>
          <w:tcPr>
            <w:tcW w:w="224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电力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冶金</w:t>
            </w:r>
          </w:p>
        </w:tc>
        <w:tc>
          <w:tcPr>
            <w:tcW w:w="224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军工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机械</w:t>
            </w:r>
          </w:p>
        </w:tc>
        <w:tc>
          <w:tcPr>
            <w:tcW w:w="224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商务粮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核工业</w:t>
            </w:r>
          </w:p>
        </w:tc>
        <w:tc>
          <w:tcPr>
            <w:tcW w:w="224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</w:trPr>
        <w:tc>
          <w:tcPr>
            <w:tcW w:w="20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电子通信广电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轻纺</w:t>
            </w:r>
          </w:p>
        </w:tc>
        <w:tc>
          <w:tcPr>
            <w:tcW w:w="224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建材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铁道</w:t>
            </w:r>
          </w:p>
        </w:tc>
        <w:tc>
          <w:tcPr>
            <w:tcW w:w="224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公路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水运</w:t>
            </w:r>
          </w:p>
        </w:tc>
        <w:tc>
          <w:tcPr>
            <w:tcW w:w="224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水利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农林</w:t>
            </w:r>
          </w:p>
        </w:tc>
        <w:tc>
          <w:tcPr>
            <w:tcW w:w="224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8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2023年及2024上半年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完成项目的投资性质及数额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（亿元）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国有投资项目</w:t>
            </w:r>
          </w:p>
        </w:tc>
        <w:tc>
          <w:tcPr>
            <w:tcW w:w="4962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，</w:t>
            </w:r>
            <w:r>
              <w:rPr>
                <w:rFonts w:ascii="宋体" w:hAnsi="宋体" w:eastAsia="宋体"/>
                <w:sz w:val="28"/>
                <w:szCs w:val="28"/>
              </w:rPr>
              <w:t>其中政府投资项目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8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房地产项目</w:t>
            </w:r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民营投资项目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8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外商投资项目</w:t>
            </w:r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89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12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1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市场占比（％）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省内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省外 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国外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表4</w:t>
      </w:r>
    </w:p>
    <w:p>
      <w:pPr>
        <w:widowControl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br w:type="page"/>
      </w:r>
    </w:p>
    <w:tbl>
      <w:tblPr>
        <w:tblStyle w:val="2"/>
        <w:tblpPr w:leftFromText="180" w:rightFromText="180" w:vertAnchor="text" w:horzAnchor="margin" w:tblpX="-352" w:tblpY="695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exac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ind w:firstLine="280" w:firstLineChars="1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近5年</w:t>
            </w:r>
          </w:p>
          <w:p>
            <w:pPr>
              <w:widowControl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科技进步</w:t>
            </w:r>
          </w:p>
          <w:p>
            <w:pPr>
              <w:widowControl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成果情况</w:t>
            </w:r>
          </w:p>
        </w:tc>
        <w:tc>
          <w:tcPr>
            <w:tcW w:w="754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国家级：</w:t>
            </w:r>
          </w:p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省部级：</w:t>
            </w:r>
          </w:p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exac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近5年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优秀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勘察设计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成果情况</w:t>
            </w:r>
          </w:p>
        </w:tc>
        <w:tc>
          <w:tcPr>
            <w:tcW w:w="754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国家级：</w:t>
            </w:r>
          </w:p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省部级：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exac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问题和困难</w:t>
            </w:r>
          </w:p>
        </w:tc>
        <w:tc>
          <w:tcPr>
            <w:tcW w:w="75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exac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建议和意见</w:t>
            </w:r>
          </w:p>
        </w:tc>
        <w:tc>
          <w:tcPr>
            <w:tcW w:w="75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表</w:t>
      </w:r>
      <w:r>
        <w:rPr>
          <w:rFonts w:hint="eastAsia" w:asciiTheme="majorEastAsia" w:hAnsiTheme="majorEastAsia" w:eastAsiaTheme="majorEastAsia"/>
          <w:sz w:val="28"/>
          <w:szCs w:val="28"/>
        </w:rPr>
        <w:t>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ZTNlMDU5OWVmMjRlOWVkNzFjNTA0OGZjMTMzODUifQ=="/>
  </w:docVars>
  <w:rsids>
    <w:rsidRoot w:val="271D0F61"/>
    <w:rsid w:val="271D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2024-08-08T03:40:00Z</dcterms:created>
  <dc:creator>Administrator</dc:creator>
  <cp:lastModifiedBy>Administrator</cp:lastModifiedBy>
  <dcterms:modified xsi:type="dcterms:W3CDTF">2024-08-08T03:41:15Z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18DA1327E7D448EBBC86E324947C37AD_11</vt:lpwstr>
  </property>
</Properties>
</file>