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spacing w:beforeLines="0" w:afterLines="0" w:line="620" w:lineRule="exact"/>
        <w:jc w:val="center"/>
        <w:rPr>
          <w:rFonts w:hint="default" w:ascii="Times New Roman" w:hAnsi="Times New Roman" w:eastAsia="宋体" w:cs="Times New Roman"/>
          <w:color w:val="auto"/>
          <w:spacing w:val="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  <w:t>决赛疫情防控措施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333333"/>
          <w:spacing w:val="-1"/>
        </w:rPr>
        <w:t xml:space="preserve">为落实好新冠肺炎疫情防控各项工作要求，确保 </w:t>
      </w:r>
      <w:r>
        <w:rPr>
          <w:rFonts w:hint="eastAsia" w:ascii="方正仿宋_GBK" w:hAnsi="方正仿宋_GBK" w:eastAsia="方正仿宋_GBK" w:cs="方正仿宋_GBK"/>
          <w:color w:val="333333"/>
        </w:rPr>
        <w:t>2020</w:t>
      </w:r>
      <w:r>
        <w:rPr>
          <w:rFonts w:hint="eastAsia" w:ascii="方正仿宋_GBK" w:hAnsi="方正仿宋_GBK" w:eastAsia="方正仿宋_GBK" w:cs="方正仿宋_GBK"/>
          <w:color w:val="333333"/>
          <w:spacing w:val="-31"/>
        </w:rPr>
        <w:t xml:space="preserve"> 年河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北省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建设行业“建勘杯”职业技能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决赛各项活动如期有序进行，特制定大赛防控措施如下。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333333"/>
        </w:rPr>
        <w:t>一、个人防护与管理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（一）建立健康管理制度。省级决赛前 14 天，各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领队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要严格控制人员流动，期间任何人不得离开本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报到当日，领队负责向会务组提交本市参赛人员的核酸检测报告和《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市参赛人员健康登记表和健康承诺书》。决赛期间，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领队负责组织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参赛人员每日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早、晚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进行 2 次体温检测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并做好记录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（二）实行健康状况报告。各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领队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每天汇总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本市参赛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人员健康状况，并做好记录备案，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于每日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val="en-US" w:eastAsia="zh-CN"/>
        </w:rPr>
        <w:t>8:00向决赛疫情防控小组报告体温情况。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发现异常情况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，决赛疫情防控小组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向省大赛组委会办公室和疫情防控部门报告并采取相应的防控措施。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（三）强化防控宣传教育。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领队要不断强化疫情防控意识，采取多种方式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使参赛人员充分了解防治知识、掌握防护要点、增强防护意识、支持配合防控工作。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（四）落实个人防护要求。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所有参赛人员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应正确佩戴口罩等防护用品。勤洗手，打喷嚏或咳嗽时要用纸巾、手绢、衣袖等遮挡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合理膳食、适量运动、规律作息。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</w:rPr>
      </w:pPr>
      <w:r>
        <w:rPr>
          <w:rFonts w:hint="eastAsia" w:ascii="方正黑体_GBK" w:hAnsi="方正黑体_GBK" w:eastAsia="方正黑体_GBK" w:cs="方正黑体_GBK"/>
          <w:color w:val="333333"/>
        </w:rPr>
        <w:t>二、报到</w:t>
      </w:r>
      <w:r>
        <w:rPr>
          <w:rFonts w:hint="eastAsia" w:ascii="方正黑体_GBK" w:hAnsi="方正黑体_GBK" w:eastAsia="方正黑体_GBK" w:cs="方正黑体_GBK"/>
          <w:color w:val="333333"/>
          <w:lang w:eastAsia="zh-CN"/>
        </w:rPr>
        <w:t>和</w:t>
      </w:r>
      <w:r>
        <w:rPr>
          <w:rFonts w:hint="eastAsia" w:ascii="方正黑体_GBK" w:hAnsi="方正黑体_GBK" w:eastAsia="方正黑体_GBK" w:cs="方正黑体_GBK"/>
          <w:color w:val="333333"/>
        </w:rPr>
        <w:t>返程途中管理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）科学安排报到和返程。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参赛人员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报到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返程途中，提前计划好交通路线和就餐、休息地点，科学安排路途中的餐饮、休息等活动，不在人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密集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空间就餐、休息。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）合理安排交通方式。鼓励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各市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优先采用租车的方式， 尽可能避免乘坐公共交通工具(地铁、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火车、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公交)。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参赛人员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乘坐的交通工具，每日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通风和消毒，乘坐人员必须全程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佩戴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口罩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途中尽量避免用手接触公共区域。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</w:rPr>
      </w:pPr>
      <w:r>
        <w:rPr>
          <w:rFonts w:hint="eastAsia" w:ascii="方正黑体_GBK" w:hAnsi="方正黑体_GBK" w:eastAsia="方正黑体_GBK" w:cs="方正黑体_GBK"/>
          <w:color w:val="333333"/>
        </w:rPr>
        <w:t>三、</w:t>
      </w:r>
      <w:r>
        <w:rPr>
          <w:rFonts w:hint="eastAsia" w:ascii="方正黑体_GBK" w:hAnsi="方正黑体_GBK" w:eastAsia="方正黑体_GBK" w:cs="方正黑体_GBK"/>
          <w:color w:val="333333"/>
          <w:lang w:eastAsia="zh-CN"/>
        </w:rPr>
        <w:t>参赛期间生</w:t>
      </w:r>
      <w:r>
        <w:rPr>
          <w:rFonts w:hint="eastAsia" w:ascii="方正黑体_GBK" w:hAnsi="方正黑体_GBK" w:eastAsia="方正黑体_GBK" w:cs="方正黑体_GBK"/>
          <w:color w:val="333333"/>
        </w:rPr>
        <w:t>活管理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）加强进出人员登记管理。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参赛人员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入住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酒店前厅设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置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体温检测点，体温正常且出示健康信息码的方可进入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尽量减少与非参赛人员直接接触，确因工作需要的，应向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会务组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报告，得到批准后检测体温，符合要求方可进出。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）加强用餐管理。决赛期间，实施错峰分散就餐，避免人员集中用餐。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参赛人员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进入餐厅前须佩戴口罩并进行体温检测，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体测异常的人员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决赛疫情防控小组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及时采取隔离措施。协办单位负责对酒店卫生管理进行监督，加强循环使用餐具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清洁消毒，不具备消毒条件的要使用一次性餐具。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）保持居室空气流通。在居室活动期间，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参赛人员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要做到不扎堆、不聚集，保持居室空气流通，保持房间清洁和个人卫生。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</w:rPr>
      </w:pPr>
      <w:r>
        <w:rPr>
          <w:rFonts w:hint="eastAsia" w:ascii="方正黑体_GBK" w:hAnsi="方正黑体_GBK" w:eastAsia="方正黑体_GBK" w:cs="方正黑体_GBK"/>
          <w:color w:val="333333"/>
        </w:rPr>
        <w:t>四、赛场管理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）减少人员聚集和集体活动。预备会、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技术讲评严格控制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时间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规模，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时间不超过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val="en-US" w:eastAsia="zh-CN"/>
        </w:rPr>
        <w:t>1小时，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人数控制在 50 人以内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，且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保持会议室空气流通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理论考试、实际操作比赛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每场次人数不超过 50 人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人与人之间保持 1 米距离。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）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确保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洗消、体温检测等正常运行。比赛场所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配备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电子体温检测器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免洗消毒用品。每日由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协办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单位负责对会议室、比赛场地等场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所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进行一次全面消毒。各种会议、比赛入场前，由工作人员对参赛人员进行体温检测。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（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）医务服务。决赛期间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设专门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医疗服务保障组，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保障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全赛程的医疗服务工作，遇有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突发</w:t>
      </w:r>
      <w:r>
        <w:rPr>
          <w:rFonts w:hint="eastAsia" w:ascii="方正仿宋_GBK" w:hAnsi="方正仿宋_GBK" w:eastAsia="方正仿宋_GBK" w:cs="方正仿宋_GBK"/>
          <w:color w:val="333333"/>
          <w:spacing w:val="-5"/>
        </w:rPr>
        <w:t>情况，及时采取科学有效措施，</w:t>
      </w:r>
      <w:r>
        <w:rPr>
          <w:rFonts w:hint="eastAsia" w:ascii="方正仿宋_GBK" w:hAnsi="方正仿宋_GBK" w:eastAsia="方正仿宋_GBK" w:cs="方正仿宋_GBK"/>
          <w:color w:val="333333"/>
          <w:spacing w:val="-5"/>
          <w:lang w:eastAsia="zh-CN"/>
        </w:rPr>
        <w:t>并妥善处理。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474" w:bottom="1587" w:left="1587" w:header="1417" w:footer="1417" w:gutter="0"/>
          <w:pgNumType w:fmt="numberInDash" w:start="2"/>
          <w:cols w:space="720" w:num="1"/>
          <w:rtlGutter w:val="0"/>
          <w:docGrid w:type="lines" w:linePitch="44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867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2020-10-21T06:56:49Z</dcterms:created>
  <dc:creator>Administrator</dc:creator>
  <cp:lastModifiedBy>沈月</cp:lastModifiedBy>
  <dcterms:modified xsi:type="dcterms:W3CDTF">2020-10-21T06:57:03Z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