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480" w:lineRule="auto"/>
        <w:ind w:left="600" w:right="0"/>
        <w:jc w:val="both"/>
        <w:rPr>
          <w:rFonts w:hint="eastAsia" w:ascii="宋体" w:hAnsi="宋体" w:eastAsia="宋体" w:cs="宋体"/>
          <w:color w:val="333333"/>
          <w:sz w:val="21"/>
          <w:szCs w:val="21"/>
        </w:rPr>
      </w:pPr>
      <w:bookmarkStart w:id="0" w:name="_GoBack"/>
      <w:bookmarkEnd w:id="0"/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</w:rPr>
        <w:t>　　附表1 </w:t>
      </w:r>
    </w:p>
    <w:p>
      <w:pPr>
        <w:pStyle w:val="13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480" w:lineRule="auto"/>
        <w:ind w:left="600" w:right="0"/>
        <w:jc w:val="center"/>
        <w:rPr>
          <w:rFonts w:hint="eastAsia" w:ascii="宋体" w:hAnsi="宋体" w:eastAsia="宋体" w:cs="宋体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</w:rPr>
        <w:t>　　</w:t>
      </w:r>
      <w:r>
        <w:rPr>
          <w:rFonts w:hint="eastAsia" w:ascii="宋体" w:hAnsi="宋体" w:eastAsia="宋体" w:cs="宋体"/>
          <w:color w:val="333333"/>
          <w:sz w:val="20"/>
          <w:szCs w:val="20"/>
          <w:shd w:val="clear" w:fill="FFFFFF"/>
        </w:rPr>
        <w:t>在冀工程勘察设计企业和施工图审查机构信用评价计分分值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fill="FFFFFF"/>
        </w:rPr>
        <w:t> </w:t>
      </w:r>
    </w:p>
    <w:tbl>
      <w:tblPr>
        <w:tblStyle w:val="14"/>
        <w:tblW w:w="8760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5"/>
        <w:gridCol w:w="855"/>
        <w:gridCol w:w="4425"/>
        <w:gridCol w:w="265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480" w:lineRule="auto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序号 </w:t>
            </w:r>
          </w:p>
        </w:tc>
        <w:tc>
          <w:tcPr>
            <w:tcW w:w="5280" w:type="dxa"/>
            <w:gridSpan w:val="2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480" w:lineRule="auto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评价内容 </w:t>
            </w:r>
          </w:p>
        </w:tc>
        <w:tc>
          <w:tcPr>
            <w:tcW w:w="265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480" w:lineRule="auto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分  值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480" w:lineRule="auto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1 </w:t>
            </w:r>
          </w:p>
        </w:tc>
        <w:tc>
          <w:tcPr>
            <w:tcW w:w="5280" w:type="dxa"/>
            <w:gridSpan w:val="2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480" w:lineRule="auto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基本信息 </w:t>
            </w:r>
          </w:p>
        </w:tc>
        <w:tc>
          <w:tcPr>
            <w:tcW w:w="265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480" w:lineRule="auto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100 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480" w:lineRule="auto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2 </w:t>
            </w:r>
          </w:p>
        </w:tc>
        <w:tc>
          <w:tcPr>
            <w:tcW w:w="85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480" w:lineRule="auto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良好信用信息 </w:t>
            </w:r>
          </w:p>
        </w:tc>
        <w:tc>
          <w:tcPr>
            <w:tcW w:w="442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480" w:lineRule="auto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国家级、省级奖项及表彰 </w:t>
            </w:r>
          </w:p>
          <w:p>
            <w:pPr>
              <w:pStyle w:val="13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480" w:lineRule="auto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（基本分0分，加分制） </w:t>
            </w:r>
          </w:p>
        </w:tc>
        <w:tc>
          <w:tcPr>
            <w:tcW w:w="265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480" w:lineRule="auto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20 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480" w:lineRule="auto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3 </w:t>
            </w:r>
          </w:p>
        </w:tc>
        <w:tc>
          <w:tcPr>
            <w:tcW w:w="85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480" w:lineRule="auto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不良 </w:t>
            </w:r>
          </w:p>
          <w:p>
            <w:pPr>
              <w:pStyle w:val="13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480" w:lineRule="auto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信用 </w:t>
            </w:r>
          </w:p>
          <w:p>
            <w:pPr>
              <w:pStyle w:val="13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480" w:lineRule="auto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信息 </w:t>
            </w:r>
          </w:p>
        </w:tc>
        <w:tc>
          <w:tcPr>
            <w:tcW w:w="442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480" w:lineRule="auto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行政处罚（处理）及违法违规通报 </w:t>
            </w:r>
          </w:p>
          <w:p>
            <w:pPr>
              <w:pStyle w:val="13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480" w:lineRule="auto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（减分制） </w:t>
            </w:r>
          </w:p>
        </w:tc>
        <w:tc>
          <w:tcPr>
            <w:tcW w:w="265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480" w:lineRule="auto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同一事件受到多次处理计分一次，按最高分减分不重复计分。 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600" w:right="0"/>
        <w:jc w:val="left"/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shd w:val="clear" w:fill="FFFFFF"/>
          <w:lang w:val="en-US" w:eastAsia="zh-CN" w:bidi="ar"/>
        </w:rPr>
        <w:t xml:space="preserve">  </w:t>
      </w:r>
    </w:p>
    <w:p>
      <w:pPr>
        <w:pStyle w:val="13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480" w:lineRule="auto"/>
        <w:ind w:left="600" w:right="0"/>
        <w:jc w:val="both"/>
        <w:rPr>
          <w:rFonts w:hint="eastAsia" w:ascii="宋体" w:hAnsi="宋体" w:eastAsia="宋体" w:cs="宋体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</w:rPr>
        <w:t>　　附表2 </w:t>
      </w:r>
    </w:p>
    <w:p>
      <w:pPr>
        <w:pStyle w:val="13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480" w:lineRule="auto"/>
        <w:ind w:left="600" w:right="0"/>
        <w:jc w:val="center"/>
        <w:rPr>
          <w:rFonts w:hint="eastAsia" w:ascii="宋体" w:hAnsi="宋体" w:eastAsia="宋体" w:cs="宋体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</w:rPr>
        <w:t>　　在冀工程勘察设计企业和施工图审查机构信用评价计分标准目录 </w:t>
      </w:r>
    </w:p>
    <w:p>
      <w:pPr>
        <w:pStyle w:val="13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480" w:lineRule="auto"/>
        <w:ind w:left="600" w:right="0"/>
        <w:jc w:val="center"/>
        <w:rPr>
          <w:rFonts w:hint="eastAsia" w:ascii="宋体" w:hAnsi="宋体" w:eastAsia="宋体" w:cs="宋体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</w:rPr>
        <w:t>　　（2020版） </w:t>
      </w:r>
    </w:p>
    <w:tbl>
      <w:tblPr>
        <w:tblStyle w:val="14"/>
        <w:tblW w:w="4998" w:type="pct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0"/>
        <w:gridCol w:w="660"/>
        <w:gridCol w:w="1594"/>
        <w:gridCol w:w="754"/>
        <w:gridCol w:w="660"/>
        <w:gridCol w:w="450"/>
        <w:gridCol w:w="2025"/>
        <w:gridCol w:w="450"/>
        <w:gridCol w:w="129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389" w:type="pct"/>
            <w:gridSpan w:val="4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480" w:lineRule="auto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工程勘察设计企业和施工图审查机构信用信息 </w:t>
            </w:r>
          </w:p>
        </w:tc>
        <w:tc>
          <w:tcPr>
            <w:tcW w:w="354" w:type="pct"/>
            <w:vMerge w:val="restart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480" w:lineRule="auto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分值 </w:t>
            </w:r>
          </w:p>
          <w:p>
            <w:pPr>
              <w:pStyle w:val="13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480" w:lineRule="auto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限制 </w:t>
            </w:r>
          </w:p>
        </w:tc>
        <w:tc>
          <w:tcPr>
            <w:tcW w:w="385" w:type="pct"/>
            <w:vMerge w:val="restart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480" w:lineRule="auto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评价 </w:t>
            </w:r>
          </w:p>
          <w:p>
            <w:pPr>
              <w:pStyle w:val="13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480" w:lineRule="auto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时效 </w:t>
            </w:r>
          </w:p>
        </w:tc>
        <w:tc>
          <w:tcPr>
            <w:tcW w:w="766" w:type="pct"/>
            <w:vMerge w:val="restart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480" w:lineRule="auto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设定依据 </w:t>
            </w:r>
          </w:p>
        </w:tc>
        <w:tc>
          <w:tcPr>
            <w:tcW w:w="205" w:type="pct"/>
            <w:vMerge w:val="restart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480" w:lineRule="auto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录入部门 </w:t>
            </w:r>
          </w:p>
        </w:tc>
        <w:tc>
          <w:tcPr>
            <w:tcW w:w="899" w:type="pct"/>
            <w:vMerge w:val="restart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480" w:lineRule="auto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信息发布部门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665" w:type="pct"/>
            <w:gridSpan w:val="2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480" w:lineRule="auto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类别 </w:t>
            </w:r>
          </w:p>
        </w:tc>
        <w:tc>
          <w:tcPr>
            <w:tcW w:w="1723" w:type="pct"/>
            <w:gridSpan w:val="2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480" w:lineRule="auto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行为描述 </w:t>
            </w:r>
          </w:p>
        </w:tc>
        <w:tc>
          <w:tcPr>
            <w:tcW w:w="354" w:type="pct"/>
            <w:vMerge w:val="continue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vMerge w:val="continue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766" w:type="pct"/>
            <w:vMerge w:val="continue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05" w:type="pct"/>
            <w:vMerge w:val="continue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899" w:type="pct"/>
            <w:vMerge w:val="continue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665" w:type="pct"/>
            <w:gridSpan w:val="2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480" w:lineRule="auto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基本信息 </w:t>
            </w:r>
          </w:p>
        </w:tc>
        <w:tc>
          <w:tcPr>
            <w:tcW w:w="1723" w:type="pct"/>
            <w:gridSpan w:val="2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480" w:lineRule="auto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基础分值，由河北省建筑市场信用管理平台直接获得。 </w:t>
            </w:r>
          </w:p>
        </w:tc>
        <w:tc>
          <w:tcPr>
            <w:tcW w:w="354" w:type="pct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480" w:lineRule="auto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100分 </w:t>
            </w:r>
          </w:p>
        </w:tc>
        <w:tc>
          <w:tcPr>
            <w:tcW w:w="385" w:type="pct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480" w:lineRule="auto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/ </w:t>
            </w:r>
          </w:p>
        </w:tc>
        <w:tc>
          <w:tcPr>
            <w:tcW w:w="766" w:type="pct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480" w:lineRule="auto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/ </w:t>
            </w:r>
          </w:p>
        </w:tc>
        <w:tc>
          <w:tcPr>
            <w:tcW w:w="205" w:type="pct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480" w:lineRule="auto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/ </w:t>
            </w:r>
          </w:p>
        </w:tc>
        <w:tc>
          <w:tcPr>
            <w:tcW w:w="899" w:type="pct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480" w:lineRule="auto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/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316" w:type="pct"/>
            <w:vMerge w:val="restart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480" w:lineRule="auto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良好 </w:t>
            </w:r>
          </w:p>
          <w:p>
            <w:pPr>
              <w:pStyle w:val="13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480" w:lineRule="auto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信用 </w:t>
            </w:r>
          </w:p>
          <w:p>
            <w:pPr>
              <w:pStyle w:val="13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480" w:lineRule="auto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信息 </w:t>
            </w:r>
          </w:p>
        </w:tc>
        <w:tc>
          <w:tcPr>
            <w:tcW w:w="349" w:type="pct"/>
            <w:vMerge w:val="restart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480" w:lineRule="auto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表彰 </w:t>
            </w:r>
          </w:p>
          <w:p>
            <w:pPr>
              <w:pStyle w:val="13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480" w:lineRule="auto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奖励 </w:t>
            </w:r>
          </w:p>
        </w:tc>
        <w:tc>
          <w:tcPr>
            <w:tcW w:w="1151" w:type="pct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480" w:lineRule="auto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荣获国家级奖项。 </w:t>
            </w:r>
          </w:p>
        </w:tc>
        <w:tc>
          <w:tcPr>
            <w:tcW w:w="571" w:type="pct"/>
            <w:vMerge w:val="restart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480" w:lineRule="auto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在河北省行政区域内获奖工程（具体分值参见附表2） </w:t>
            </w:r>
          </w:p>
        </w:tc>
        <w:tc>
          <w:tcPr>
            <w:tcW w:w="354" w:type="pct"/>
            <w:vMerge w:val="restart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480" w:lineRule="auto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20分 </w:t>
            </w:r>
          </w:p>
        </w:tc>
        <w:tc>
          <w:tcPr>
            <w:tcW w:w="385" w:type="pct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480" w:lineRule="auto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36个月 </w:t>
            </w:r>
          </w:p>
        </w:tc>
        <w:tc>
          <w:tcPr>
            <w:tcW w:w="766" w:type="pct"/>
            <w:vMerge w:val="restart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480" w:lineRule="auto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《建筑市场信用管理暂行办法》        </w:t>
            </w:r>
          </w:p>
          <w:p>
            <w:pPr>
              <w:pStyle w:val="13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480" w:lineRule="auto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《河北省住房城乡建设行业信用信息管理办法》 </w:t>
            </w:r>
          </w:p>
        </w:tc>
        <w:tc>
          <w:tcPr>
            <w:tcW w:w="205" w:type="pct"/>
            <w:vMerge w:val="restart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480" w:lineRule="auto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市、县住房城乡建设部门 </w:t>
            </w:r>
          </w:p>
        </w:tc>
        <w:tc>
          <w:tcPr>
            <w:tcW w:w="899" w:type="pct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480" w:lineRule="auto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国务院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316" w:type="pct"/>
            <w:vMerge w:val="continue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vMerge w:val="continue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151" w:type="pct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480" w:lineRule="auto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荣获省部级奖项。 </w:t>
            </w:r>
          </w:p>
        </w:tc>
        <w:tc>
          <w:tcPr>
            <w:tcW w:w="571" w:type="pct"/>
            <w:vMerge w:val="continue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vMerge w:val="continue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480" w:lineRule="auto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24个月 </w:t>
            </w:r>
          </w:p>
        </w:tc>
        <w:tc>
          <w:tcPr>
            <w:tcW w:w="766" w:type="pct"/>
            <w:vMerge w:val="continue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05" w:type="pct"/>
            <w:vMerge w:val="continue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899" w:type="pct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480" w:lineRule="auto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住房城乡建设部、省政府、国家级行业协会、住房城乡建设厅及省级行业协会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316" w:type="pct"/>
            <w:vMerge w:val="continue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vMerge w:val="continue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151" w:type="pct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480" w:lineRule="auto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受到住房城乡建设部通报表彰的，每次加3分。 </w:t>
            </w:r>
          </w:p>
        </w:tc>
        <w:tc>
          <w:tcPr>
            <w:tcW w:w="571" w:type="pct"/>
            <w:vMerge w:val="restart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480" w:lineRule="auto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在河北省行政区域内勘察设计获奖工程 </w:t>
            </w:r>
          </w:p>
        </w:tc>
        <w:tc>
          <w:tcPr>
            <w:tcW w:w="354" w:type="pct"/>
            <w:vMerge w:val="continue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480" w:lineRule="auto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24个月 </w:t>
            </w:r>
          </w:p>
        </w:tc>
        <w:tc>
          <w:tcPr>
            <w:tcW w:w="766" w:type="pct"/>
            <w:vMerge w:val="continue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05" w:type="pct"/>
            <w:vMerge w:val="continue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899" w:type="pct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480" w:lineRule="auto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住房城乡建设部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316" w:type="pct"/>
            <w:vMerge w:val="continue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vMerge w:val="continue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151" w:type="pct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480" w:lineRule="auto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受到省住房建设建厅通报表彰的，每次加1分。 </w:t>
            </w:r>
          </w:p>
        </w:tc>
        <w:tc>
          <w:tcPr>
            <w:tcW w:w="571" w:type="pct"/>
            <w:vMerge w:val="continue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vMerge w:val="continue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480" w:lineRule="auto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24个月 </w:t>
            </w:r>
          </w:p>
        </w:tc>
        <w:tc>
          <w:tcPr>
            <w:tcW w:w="766" w:type="pct"/>
            <w:vMerge w:val="continue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05" w:type="pct"/>
            <w:vMerge w:val="continue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899" w:type="pct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480" w:lineRule="auto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住房城乡建设厅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316" w:type="pct"/>
            <w:vMerge w:val="restart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480" w:lineRule="auto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不良 </w:t>
            </w:r>
          </w:p>
          <w:p>
            <w:pPr>
              <w:pStyle w:val="13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480" w:lineRule="auto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信用 </w:t>
            </w:r>
          </w:p>
          <w:p>
            <w:pPr>
              <w:pStyle w:val="13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480" w:lineRule="auto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信息 </w:t>
            </w:r>
          </w:p>
        </w:tc>
        <w:tc>
          <w:tcPr>
            <w:tcW w:w="349" w:type="pct"/>
            <w:vMerge w:val="restart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480" w:lineRule="auto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行政 </w:t>
            </w:r>
          </w:p>
          <w:p>
            <w:pPr>
              <w:pStyle w:val="13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480" w:lineRule="auto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处罚 </w:t>
            </w:r>
          </w:p>
          <w:p>
            <w:pPr>
              <w:pStyle w:val="13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480" w:lineRule="auto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（处理） </w:t>
            </w:r>
          </w:p>
        </w:tc>
        <w:tc>
          <w:tcPr>
            <w:tcW w:w="1151" w:type="pct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480" w:lineRule="auto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市场行为不规范被通报的，每次减2分。 </w:t>
            </w:r>
          </w:p>
        </w:tc>
        <w:tc>
          <w:tcPr>
            <w:tcW w:w="571" w:type="pct"/>
            <w:vMerge w:val="restart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480" w:lineRule="auto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以住房城乡建设部门或城市管理综合行政执法部门出具的行政处罚（处理）决定书和通报为准 </w:t>
            </w:r>
          </w:p>
        </w:tc>
        <w:tc>
          <w:tcPr>
            <w:tcW w:w="354" w:type="pct"/>
            <w:vMerge w:val="restart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480" w:lineRule="auto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同一事件受到多次处理计分一次，按最高分减分不重复计分。 </w:t>
            </w:r>
          </w:p>
        </w:tc>
        <w:tc>
          <w:tcPr>
            <w:tcW w:w="385" w:type="pct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480" w:lineRule="auto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6个月 </w:t>
            </w:r>
          </w:p>
        </w:tc>
        <w:tc>
          <w:tcPr>
            <w:tcW w:w="766" w:type="pct"/>
            <w:vMerge w:val="restart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480" w:lineRule="auto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日常管理 </w:t>
            </w:r>
          </w:p>
        </w:tc>
        <w:tc>
          <w:tcPr>
            <w:tcW w:w="205" w:type="pct"/>
            <w:vMerge w:val="restart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480" w:lineRule="auto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省、市、县住房城乡建设部门 </w:t>
            </w:r>
          </w:p>
        </w:tc>
        <w:tc>
          <w:tcPr>
            <w:tcW w:w="899" w:type="pct"/>
            <w:vMerge w:val="restart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480" w:lineRule="auto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省、市、县住房城乡建设主管部门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316" w:type="pct"/>
            <w:vMerge w:val="continue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vMerge w:val="continue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151" w:type="pct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480" w:lineRule="auto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提供或报送虚假信息被行政机关通报的，每次减3分。 </w:t>
            </w:r>
          </w:p>
        </w:tc>
        <w:tc>
          <w:tcPr>
            <w:tcW w:w="571" w:type="pct"/>
            <w:vMerge w:val="continue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vMerge w:val="continue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vMerge w:val="restart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480" w:lineRule="auto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24个月 </w:t>
            </w:r>
          </w:p>
        </w:tc>
        <w:tc>
          <w:tcPr>
            <w:tcW w:w="766" w:type="pct"/>
            <w:vMerge w:val="continue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05" w:type="pct"/>
            <w:vMerge w:val="continue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899" w:type="pct"/>
            <w:vMerge w:val="continue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316" w:type="pct"/>
            <w:vMerge w:val="restart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480" w:lineRule="auto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349" w:type="pct"/>
            <w:vMerge w:val="restart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480" w:lineRule="auto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1151" w:type="pct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480" w:lineRule="auto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受到行政处罚的，每次减3分。 </w:t>
            </w:r>
          </w:p>
        </w:tc>
        <w:tc>
          <w:tcPr>
            <w:tcW w:w="571" w:type="pct"/>
            <w:vMerge w:val="continue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vMerge w:val="continue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vMerge w:val="continue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766" w:type="pct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480" w:lineRule="auto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相关法律法规 </w:t>
            </w:r>
          </w:p>
        </w:tc>
        <w:tc>
          <w:tcPr>
            <w:tcW w:w="205" w:type="pct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480" w:lineRule="auto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省、市、县住房城乡建设部门或城市管理综合行政执法部门 </w:t>
            </w:r>
          </w:p>
        </w:tc>
        <w:tc>
          <w:tcPr>
            <w:tcW w:w="899" w:type="pct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480" w:lineRule="auto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省、市、县住房城乡建设部门或城市管理综合行政执法部门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316" w:type="pct"/>
            <w:vMerge w:val="continue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vMerge w:val="continue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151" w:type="pct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480" w:lineRule="auto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被列入建筑市场主体“黑名单”的，每次减10分。 </w:t>
            </w:r>
          </w:p>
        </w:tc>
        <w:tc>
          <w:tcPr>
            <w:tcW w:w="571" w:type="pct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480" w:lineRule="auto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省住房城乡建设部门发布为准 </w:t>
            </w:r>
          </w:p>
        </w:tc>
        <w:tc>
          <w:tcPr>
            <w:tcW w:w="354" w:type="pct"/>
            <w:vMerge w:val="continue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480" w:lineRule="auto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至从“黑名单”中移出 </w:t>
            </w:r>
          </w:p>
        </w:tc>
        <w:tc>
          <w:tcPr>
            <w:tcW w:w="766" w:type="pct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480" w:lineRule="auto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建筑市场信用管理暂行办法 </w:t>
            </w:r>
          </w:p>
        </w:tc>
        <w:tc>
          <w:tcPr>
            <w:tcW w:w="205" w:type="pct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480" w:lineRule="auto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省住房城乡建设部门 </w:t>
            </w:r>
          </w:p>
        </w:tc>
        <w:tc>
          <w:tcPr>
            <w:tcW w:w="899" w:type="pct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480" w:lineRule="auto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省住房城乡建设部门 </w:t>
            </w:r>
          </w:p>
        </w:tc>
      </w:tr>
    </w:tbl>
    <w:p>
      <w:pPr>
        <w:pStyle w:val="13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480" w:lineRule="auto"/>
        <w:ind w:left="600" w:right="0"/>
        <w:jc w:val="both"/>
        <w:rPr>
          <w:rFonts w:hint="eastAsia" w:ascii="宋体" w:hAnsi="宋体" w:eastAsia="宋体" w:cs="宋体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</w:rPr>
        <w:t>　　注：1.本表工程指房屋建筑和市政基础设施工程。 </w:t>
      </w:r>
    </w:p>
    <w:p>
      <w:pPr>
        <w:pStyle w:val="13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480" w:lineRule="auto"/>
        <w:ind w:left="600" w:right="0"/>
        <w:jc w:val="both"/>
        <w:rPr>
          <w:rFonts w:hint="eastAsia" w:ascii="宋体" w:hAnsi="宋体" w:eastAsia="宋体" w:cs="宋体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</w:rPr>
        <w:t>　　    2.本表所指获奖工程和受表彰工程指在河北省行政区域内的工程，河北省勘察设计企业和施工图审查机构在外埠工程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fill="FFFFFF"/>
        </w:rPr>
        <w:t>获奖或受到表彰的，经河北省住房城乡建设部门认定后可列入良好信用信息。 </w:t>
      </w:r>
    </w:p>
    <w:p>
      <w:pPr>
        <w:pStyle w:val="13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480" w:lineRule="auto"/>
        <w:ind w:left="600" w:right="0"/>
        <w:jc w:val="both"/>
        <w:rPr>
          <w:rFonts w:hint="eastAsia" w:ascii="宋体" w:hAnsi="宋体" w:eastAsia="宋体" w:cs="宋体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</w:rPr>
        <w:t>　　    3.同一项目、事件进行多次计分的，仅计算最高分值一次，不重复计分。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600" w:right="0"/>
        <w:jc w:val="left"/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shd w:val="clear" w:fill="FFFFFF"/>
          <w:lang w:val="en-US" w:eastAsia="zh-CN" w:bidi="ar"/>
        </w:rPr>
        <w:t xml:space="preserve">  </w:t>
      </w:r>
    </w:p>
    <w:p>
      <w:pPr>
        <w:pStyle w:val="13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480" w:lineRule="auto"/>
        <w:ind w:left="600" w:right="0"/>
        <w:jc w:val="both"/>
        <w:rPr>
          <w:rFonts w:hint="eastAsia" w:ascii="宋体" w:hAnsi="宋体" w:eastAsia="宋体" w:cs="宋体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</w:rPr>
        <w:t>　　附表3 </w:t>
      </w:r>
    </w:p>
    <w:p>
      <w:pPr>
        <w:pStyle w:val="13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480" w:lineRule="auto"/>
        <w:ind w:left="600" w:right="0"/>
        <w:jc w:val="center"/>
        <w:rPr>
          <w:rFonts w:hint="eastAsia" w:ascii="宋体" w:hAnsi="宋体" w:eastAsia="宋体" w:cs="宋体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</w:rPr>
        <w:t>　　列入计分范围的奖项 </w:t>
      </w:r>
    </w:p>
    <w:tbl>
      <w:tblPr>
        <w:tblStyle w:val="14"/>
        <w:tblW w:w="9120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0"/>
        <w:gridCol w:w="690"/>
        <w:gridCol w:w="4815"/>
        <w:gridCol w:w="265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960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480" w:lineRule="auto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级别 </w:t>
            </w:r>
          </w:p>
        </w:tc>
        <w:tc>
          <w:tcPr>
            <w:tcW w:w="690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480" w:lineRule="auto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序号 </w:t>
            </w:r>
          </w:p>
        </w:tc>
        <w:tc>
          <w:tcPr>
            <w:tcW w:w="481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480" w:lineRule="auto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奖项名称 </w:t>
            </w:r>
          </w:p>
        </w:tc>
        <w:tc>
          <w:tcPr>
            <w:tcW w:w="265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480" w:lineRule="auto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评选单位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960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480" w:lineRule="auto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国家级 </w:t>
            </w:r>
          </w:p>
        </w:tc>
        <w:tc>
          <w:tcPr>
            <w:tcW w:w="690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480" w:lineRule="auto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1 </w:t>
            </w:r>
          </w:p>
        </w:tc>
        <w:tc>
          <w:tcPr>
            <w:tcW w:w="481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480" w:lineRule="auto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国家科技进步奖 </w:t>
            </w:r>
          </w:p>
          <w:p>
            <w:pPr>
              <w:pStyle w:val="13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480" w:lineRule="auto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（一等奖10分，二等奖6分，三等奖4分） </w:t>
            </w:r>
          </w:p>
        </w:tc>
        <w:tc>
          <w:tcPr>
            <w:tcW w:w="265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480" w:lineRule="auto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国务院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960" w:type="dxa"/>
            <w:vMerge w:val="restart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480" w:lineRule="auto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省部级 </w:t>
            </w:r>
          </w:p>
        </w:tc>
        <w:tc>
          <w:tcPr>
            <w:tcW w:w="690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480" w:lineRule="auto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2 </w:t>
            </w:r>
          </w:p>
        </w:tc>
        <w:tc>
          <w:tcPr>
            <w:tcW w:w="481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480" w:lineRule="auto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河北省科技进步奖 </w:t>
            </w:r>
          </w:p>
          <w:p>
            <w:pPr>
              <w:pStyle w:val="13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480" w:lineRule="auto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（一等奖5分，二等奖3分，三等奖1分） </w:t>
            </w:r>
          </w:p>
        </w:tc>
        <w:tc>
          <w:tcPr>
            <w:tcW w:w="265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480" w:lineRule="auto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河北省人民政府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960" w:type="dxa"/>
            <w:vMerge w:val="continue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480" w:lineRule="auto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3 </w:t>
            </w:r>
          </w:p>
        </w:tc>
        <w:tc>
          <w:tcPr>
            <w:tcW w:w="481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480" w:lineRule="auto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全国优秀工程勘察设计奖 </w:t>
            </w:r>
          </w:p>
          <w:p>
            <w:pPr>
              <w:pStyle w:val="13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480" w:lineRule="auto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（一等奖5分，二等奖3分，三等奖1分） </w:t>
            </w:r>
          </w:p>
        </w:tc>
        <w:tc>
          <w:tcPr>
            <w:tcW w:w="265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480" w:lineRule="auto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住房和城乡建设部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960" w:type="dxa"/>
            <w:vMerge w:val="continue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480" w:lineRule="auto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4 </w:t>
            </w:r>
          </w:p>
        </w:tc>
        <w:tc>
          <w:tcPr>
            <w:tcW w:w="481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480" w:lineRule="auto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全国优秀工程勘察设计行业奖 </w:t>
            </w:r>
          </w:p>
          <w:p>
            <w:pPr>
              <w:pStyle w:val="13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480" w:lineRule="auto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（一等奖4分，二等奖2分，三等奖1分） </w:t>
            </w:r>
          </w:p>
        </w:tc>
        <w:tc>
          <w:tcPr>
            <w:tcW w:w="265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480" w:lineRule="auto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全国工程勘察设计协会 </w:t>
            </w:r>
          </w:p>
        </w:tc>
      </w:tr>
    </w:tbl>
    <w:p>
      <w:pPr>
        <w:bidi w:val="0"/>
        <w:jc w:val="left"/>
        <w:rPr>
          <w:rFonts w:hint="eastAsia" w:ascii="宋体" w:hAnsi="宋体" w:eastAsia="宋体" w:cs="宋体"/>
          <w:sz w:val="21"/>
          <w:szCs w:val="21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宋体 ，Arial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ingLiU_HKSCS">
    <w:panose1 w:val="02020500000000000000"/>
    <w:charset w:val="88"/>
    <w:family w:val="roman"/>
    <w:pitch w:val="default"/>
    <w:sig w:usb0="A00002FF" w:usb1="38CFFCFA" w:usb2="00000016" w:usb3="00000000" w:csb0="00100001" w:csb1="00000000"/>
  </w:font>
  <w:font w:name="&amp;quo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center"/>
      <w:rPr>
        <w:rFonts w:ascii="Times New Roman" w:hAnsi="Times New Roman" w:eastAsia="仿宋_GB2312"/>
        <w:sz w:val="24"/>
      </w:rPr>
    </w:pPr>
    <w:r>
      <w:rPr>
        <w:rFonts w:ascii="Times New Roman" w:hAnsi="Times New Roman" w:eastAsia="仿宋_GB2312"/>
        <w:sz w:val="24"/>
      </w:rPr>
      <w:fldChar w:fldCharType="begin"/>
    </w:r>
    <w:r>
      <w:rPr>
        <w:rFonts w:ascii="Times New Roman" w:hAnsi="Times New Roman" w:eastAsia="仿宋_GB2312"/>
        <w:sz w:val="24"/>
      </w:rPr>
      <w:instrText xml:space="preserve"> PAGE  \* MERGEFORMAT </w:instrText>
    </w:r>
    <w:r>
      <w:rPr>
        <w:rFonts w:ascii="Times New Roman" w:hAnsi="Times New Roman" w:eastAsia="仿宋_GB2312"/>
        <w:sz w:val="24"/>
      </w:rPr>
      <w:fldChar w:fldCharType="separate"/>
    </w:r>
    <w:r>
      <w:t>1</w:t>
    </w:r>
    <w:r>
      <w:rPr>
        <w:rFonts w:ascii="Times New Roman" w:hAnsi="Times New Roman" w:eastAsia="仿宋_GB2312"/>
        <w:sz w:val="24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E7683D"/>
    <w:rsid w:val="64E7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340" w:beforeLines="0" w:after="330" w:afterLines="0" w:line="576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iPriority w:val="0"/>
    <w:pPr>
      <w:keepNext/>
      <w:keepLines/>
      <w:spacing w:before="260" w:beforeLines="0" w:after="260" w:afterLines="0" w:line="413" w:lineRule="auto"/>
      <w:outlineLvl w:val="1"/>
    </w:pPr>
    <w:rPr>
      <w:rFonts w:ascii="Cambria" w:hAnsi="Cambria" w:eastAsia="宋体" w:cs="Times New Roman"/>
      <w:b/>
      <w:bCs/>
      <w:kern w:val="2"/>
      <w:sz w:val="32"/>
      <w:szCs w:val="32"/>
    </w:rPr>
  </w:style>
  <w:style w:type="paragraph" w:styleId="4">
    <w:name w:val="heading 3"/>
    <w:basedOn w:val="1"/>
    <w:next w:val="1"/>
    <w:uiPriority w:val="0"/>
    <w:pPr>
      <w:keepNext/>
      <w:keepLines/>
      <w:spacing w:before="260" w:beforeLines="0" w:after="260" w:afterLines="0" w:line="413" w:lineRule="auto"/>
      <w:outlineLvl w:val="2"/>
    </w:pPr>
    <w:rPr>
      <w:b/>
      <w:bCs/>
      <w:kern w:val="2"/>
      <w:sz w:val="32"/>
      <w:szCs w:val="32"/>
    </w:rPr>
  </w:style>
  <w:style w:type="paragraph" w:styleId="5">
    <w:name w:val="heading 4"/>
    <w:basedOn w:val="1"/>
    <w:next w:val="1"/>
    <w:uiPriority w:val="0"/>
    <w:pPr>
      <w:keepNext/>
      <w:keepLines/>
      <w:spacing w:before="280" w:beforeLines="0" w:after="290" w:afterLines="0" w:line="372" w:lineRule="auto"/>
      <w:outlineLvl w:val="3"/>
    </w:pPr>
    <w:rPr>
      <w:rFonts w:ascii="Cambria" w:hAnsi="Cambria" w:eastAsia="宋体" w:cs="Times New Roman"/>
      <w:b/>
      <w:bCs/>
      <w:kern w:val="2"/>
      <w:sz w:val="28"/>
      <w:szCs w:val="28"/>
    </w:rPr>
  </w:style>
  <w:style w:type="paragraph" w:styleId="6">
    <w:name w:val="heading 5"/>
    <w:basedOn w:val="1"/>
    <w:next w:val="1"/>
    <w:uiPriority w:val="0"/>
    <w:pPr>
      <w:keepNext/>
      <w:keepLines/>
      <w:spacing w:before="280" w:beforeLines="0" w:after="290" w:afterLines="0" w:line="372" w:lineRule="auto"/>
      <w:outlineLvl w:val="4"/>
    </w:pPr>
    <w:rPr>
      <w:b/>
      <w:bCs/>
      <w:kern w:val="2"/>
      <w:sz w:val="28"/>
      <w:szCs w:val="28"/>
    </w:rPr>
  </w:style>
  <w:style w:type="character" w:default="1" w:styleId="15">
    <w:name w:val="Default Paragraph Font"/>
    <w:semiHidden/>
    <w:uiPriority w:val="0"/>
  </w:style>
  <w:style w:type="table" w:default="1" w:styleId="1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ody Text"/>
    <w:basedOn w:val="1"/>
    <w:uiPriority w:val="0"/>
    <w:pPr>
      <w:adjustRightInd w:val="0"/>
      <w:spacing w:after="60" w:afterLines="0" w:line="360" w:lineRule="atLeast"/>
      <w:ind w:left="72" w:leftChars="30" w:right="30" w:rightChars="30"/>
      <w:jc w:val="center"/>
      <w:textAlignment w:val="baseline"/>
    </w:pPr>
    <w:rPr>
      <w:rFonts w:ascii="Times New Roman" w:hAnsi="Times New Roman"/>
    </w:rPr>
  </w:style>
  <w:style w:type="paragraph" w:styleId="8">
    <w:name w:val="toc 5"/>
    <w:basedOn w:val="1"/>
    <w:next w:val="1"/>
    <w:qFormat/>
    <w:uiPriority w:val="0"/>
    <w:pPr>
      <w:tabs>
        <w:tab w:val="right" w:leader="dot" w:pos="8296"/>
      </w:tabs>
      <w:ind w:left="1050" w:leftChars="500"/>
    </w:pPr>
  </w:style>
  <w:style w:type="paragraph" w:styleId="9">
    <w:name w:val="toc 3"/>
    <w:basedOn w:val="1"/>
    <w:next w:val="1"/>
    <w:uiPriority w:val="0"/>
    <w:pPr>
      <w:ind w:left="840" w:leftChars="400"/>
    </w:pPr>
  </w:style>
  <w:style w:type="paragraph" w:styleId="10">
    <w:name w:val="Body Text Indent 2"/>
    <w:basedOn w:val="1"/>
    <w:uiPriority w:val="0"/>
    <w:pPr>
      <w:spacing w:after="120" w:afterLines="0" w:line="480" w:lineRule="auto"/>
      <w:ind w:left="420" w:leftChars="200"/>
    </w:pPr>
    <w:rPr>
      <w:rFonts w:ascii="Times New Roman" w:hAnsi="Times New Roman"/>
      <w:sz w:val="24"/>
      <w:szCs w:val="24"/>
    </w:rPr>
  </w:style>
  <w:style w:type="paragraph" w:styleId="11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12">
    <w:name w:val="toc 4"/>
    <w:basedOn w:val="1"/>
    <w:next w:val="1"/>
    <w:uiPriority w:val="0"/>
    <w:pPr>
      <w:tabs>
        <w:tab w:val="left" w:pos="1890"/>
        <w:tab w:val="right" w:leader="dot" w:pos="8296"/>
      </w:tabs>
      <w:ind w:left="630" w:leftChars="300"/>
    </w:pPr>
  </w:style>
  <w:style w:type="paragraph" w:styleId="1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6">
    <w:name w:val="Strong"/>
    <w:basedOn w:val="15"/>
    <w:qFormat/>
    <w:uiPriority w:val="0"/>
    <w:rPr>
      <w:b/>
    </w:rPr>
  </w:style>
  <w:style w:type="character" w:styleId="17">
    <w:name w:val="Hyperlink"/>
    <w:basedOn w:val="15"/>
    <w:qFormat/>
    <w:uiPriority w:val="0"/>
    <w:rPr>
      <w:color w:val="0000FF"/>
      <w:u w:val="single"/>
    </w:rPr>
  </w:style>
  <w:style w:type="character" w:styleId="18">
    <w:name w:val="annotation reference"/>
    <w:qFormat/>
    <w:uiPriority w:val="0"/>
    <w:rPr>
      <w:rFonts w:cs="Times New Roman"/>
      <w:sz w:val="21"/>
      <w:szCs w:val="21"/>
    </w:rPr>
  </w:style>
  <w:style w:type="paragraph" w:customStyle="1" w:styleId="19">
    <w:name w:val="TOC 标题"/>
    <w:basedOn w:val="2"/>
    <w:next w:val="1"/>
    <w:uiPriority w:val="0"/>
    <w:pPr>
      <w:outlineLvl w:val="9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2020-07-10T00:49:00Z</dcterms:created>
  <dc:creator>Administrator</dc:creator>
  <cp:lastModifiedBy>Administrator</cp:lastModifiedBy>
  <dcterms:modified xsi:type="dcterms:W3CDTF">2020-07-10T01:50:49Z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